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6A62F" w14:textId="3C775345" w:rsidR="008D7919" w:rsidRPr="00A13122" w:rsidRDefault="008D7919" w:rsidP="008D791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3F72335D" wp14:editId="2069EC27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4C1B4" w14:textId="77777777" w:rsidR="008D7919" w:rsidRPr="00C5211A" w:rsidRDefault="008D7919" w:rsidP="008D7919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11A"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2335D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" fillcolor="#c00000" stroked="f" strokeweight="1pt">
                <v:textbox>
                  <w:txbxContent>
                    <w:p w14:paraId="13B4C1B4" w14:textId="77777777" w:rsidR="008D7919" w:rsidRPr="00C5211A" w:rsidRDefault="008D7919" w:rsidP="008D7919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 w:rsidRPr="00C5211A"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51C3F2" wp14:editId="12A9EF5E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7C393" w14:textId="77777777" w:rsidR="008D7919" w:rsidRPr="00A13122" w:rsidRDefault="008D7919" w:rsidP="008D7919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C3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" adj="6300,28955" fillcolor="#e83b68" stroked="f" strokeweight="1pt">
                <v:textbox>
                  <w:txbxContent>
                    <w:p w14:paraId="1877C393" w14:textId="77777777" w:rsidR="008D7919" w:rsidRPr="00A13122" w:rsidRDefault="008D7919" w:rsidP="008D7919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215343">
        <w:rPr>
          <w:noProof/>
          <w:lang w:eastAsia="fr-FR"/>
        </w:rPr>
        <w:t>Les associations entre êtres vivants</w:t>
      </w:r>
    </w:p>
    <w:p w14:paraId="1661448E" w14:textId="1FDE9D63" w:rsidR="00BA5B3E" w:rsidRDefault="00094FA5" w:rsidP="008D791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0FF6E4BC" w14:textId="3F52D136" w:rsidR="00EF5BDF" w:rsidRDefault="00215343" w:rsidP="008D7919">
      <w:pPr>
        <w:pStyle w:val="Titreprotocole"/>
      </w:pPr>
      <w:r>
        <w:t>Caractériser la symbiose du ver de Roscoff</w:t>
      </w:r>
    </w:p>
    <w:p w14:paraId="4F228719" w14:textId="77777777" w:rsidR="008D7919" w:rsidRPr="00851BDB" w:rsidRDefault="008D7919" w:rsidP="008D7919">
      <w:bookmarkStart w:id="0" w:name="_GoBack"/>
      <w:bookmarkEnd w:id="0"/>
    </w:p>
    <w:p w14:paraId="2DA2A156" w14:textId="77777777"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14:paraId="64CEAE41" w14:textId="53D0EDBA" w:rsidR="00215343" w:rsidRPr="00215343" w:rsidRDefault="00215343" w:rsidP="00215343">
      <w:pPr>
        <w:pStyle w:val="materielcourant"/>
        <w:numPr>
          <w:ilvl w:val="0"/>
          <w:numId w:val="36"/>
        </w:numPr>
      </w:pPr>
      <w:r>
        <w:t>Kit 1 ou Kit 2 ver de Roscoff (</w:t>
      </w:r>
      <w:proofErr w:type="spellStart"/>
      <w:r>
        <w:t>Jeulin</w:t>
      </w:r>
      <w:proofErr w:type="spellEnd"/>
      <w:r>
        <w:t>)</w:t>
      </w:r>
    </w:p>
    <w:p w14:paraId="6EED80D7" w14:textId="4EB292AE" w:rsidR="00215343" w:rsidRPr="00215343" w:rsidRDefault="00215343" w:rsidP="00215343">
      <w:pPr>
        <w:pStyle w:val="materielcourant"/>
        <w:numPr>
          <w:ilvl w:val="0"/>
          <w:numId w:val="36"/>
        </w:numPr>
      </w:pPr>
      <w:proofErr w:type="gramStart"/>
      <w:r>
        <w:t>micr</w:t>
      </w:r>
      <w:r w:rsidRPr="00215343">
        <w:t>oscope</w:t>
      </w:r>
      <w:proofErr w:type="gramEnd"/>
      <w:r>
        <w:t>, lames, lamelles</w:t>
      </w:r>
    </w:p>
    <w:p w14:paraId="2874B816" w14:textId="3A9520FA" w:rsidR="00215343" w:rsidRPr="00215343" w:rsidRDefault="00215343" w:rsidP="00215343">
      <w:pPr>
        <w:pStyle w:val="materielcourant"/>
        <w:numPr>
          <w:ilvl w:val="0"/>
          <w:numId w:val="36"/>
        </w:numPr>
      </w:pPr>
      <w:proofErr w:type="gramStart"/>
      <w:r>
        <w:t>sy</w:t>
      </w:r>
      <w:r w:rsidRPr="00215343">
        <w:t>stème</w:t>
      </w:r>
      <w:proofErr w:type="gramEnd"/>
      <w:r w:rsidRPr="00215343">
        <w:t xml:space="preserve"> d’acquisition </w:t>
      </w:r>
      <w:proofErr w:type="spellStart"/>
      <w:r w:rsidRPr="00215343">
        <w:t>ExAO</w:t>
      </w:r>
      <w:proofErr w:type="spellEnd"/>
    </w:p>
    <w:p w14:paraId="20C6E0C3" w14:textId="18C46799" w:rsidR="00215343" w:rsidRPr="00215343" w:rsidRDefault="00215343" w:rsidP="00215343">
      <w:pPr>
        <w:pStyle w:val="materielcourant"/>
        <w:numPr>
          <w:ilvl w:val="0"/>
          <w:numId w:val="36"/>
        </w:numPr>
      </w:pPr>
      <w:proofErr w:type="gramStart"/>
      <w:r>
        <w:t>s</w:t>
      </w:r>
      <w:r w:rsidRPr="00215343">
        <w:t>onde</w:t>
      </w:r>
      <w:proofErr w:type="gramEnd"/>
      <w:r w:rsidRPr="00215343">
        <w:t xml:space="preserve"> </w:t>
      </w:r>
      <w:proofErr w:type="spellStart"/>
      <w:r w:rsidRPr="00215343">
        <w:t>oxymétrique</w:t>
      </w:r>
      <w:proofErr w:type="spellEnd"/>
    </w:p>
    <w:p w14:paraId="6543A936" w14:textId="70241686" w:rsidR="003B72B9" w:rsidRPr="003B72B9" w:rsidRDefault="00215343" w:rsidP="00215343">
      <w:pPr>
        <w:pStyle w:val="materielcourant"/>
        <w:numPr>
          <w:ilvl w:val="0"/>
          <w:numId w:val="36"/>
        </w:numPr>
      </w:pPr>
      <w:proofErr w:type="gramStart"/>
      <w:r>
        <w:t>c</w:t>
      </w:r>
      <w:r w:rsidRPr="00215343">
        <w:t>améra</w:t>
      </w:r>
      <w:proofErr w:type="gramEnd"/>
      <w:r w:rsidRPr="00215343">
        <w:t>, appareil photo</w:t>
      </w:r>
    </w:p>
    <w:p w14:paraId="3EACDF75" w14:textId="04E35DCC" w:rsidR="00EF5BDF" w:rsidRPr="00836FF9" w:rsidRDefault="00EF5BDF" w:rsidP="003B72B9">
      <w:pPr>
        <w:pStyle w:val="materielcourant"/>
        <w:rPr>
          <w:b/>
        </w:rPr>
      </w:pPr>
    </w:p>
    <w:p w14:paraId="4C4EFC8C" w14:textId="0CE43290" w:rsidR="00836FF9" w:rsidRDefault="00EF5BDF" w:rsidP="002301CB">
      <w:pPr>
        <w:pStyle w:val="MATERIEL"/>
      </w:pPr>
      <w:r w:rsidRPr="002301CB">
        <w:t>Protocole</w:t>
      </w:r>
      <w:r w:rsidR="00215343">
        <w:t>s</w:t>
      </w:r>
      <w:r w:rsidR="001A7090">
        <w:t> :</w:t>
      </w:r>
      <w:r>
        <w:t xml:space="preserve"> </w:t>
      </w:r>
    </w:p>
    <w:p w14:paraId="51136B11" w14:textId="3C38E550" w:rsidR="00215343" w:rsidRPr="00215343" w:rsidRDefault="00215343" w:rsidP="00215343">
      <w:pPr>
        <w:pStyle w:val="COURANT"/>
        <w:spacing w:line="276" w:lineRule="auto"/>
        <w:rPr>
          <w:u w:val="single"/>
        </w:rPr>
      </w:pPr>
      <w:r w:rsidRPr="00215343">
        <w:rPr>
          <w:u w:val="single"/>
        </w:rPr>
        <w:t>A.</w:t>
      </w:r>
      <w:r w:rsidRPr="00215343">
        <w:rPr>
          <w:u w:val="single"/>
        </w:rPr>
        <w:t xml:space="preserve"> Observation des structures symbiotiques</w:t>
      </w:r>
    </w:p>
    <w:p w14:paraId="70FF592B" w14:textId="7BDB88A4" w:rsidR="00215343" w:rsidRPr="00215343" w:rsidRDefault="00215343" w:rsidP="00215343">
      <w:pPr>
        <w:pStyle w:val="LISTE"/>
        <w:spacing w:line="276" w:lineRule="auto"/>
      </w:pPr>
      <w:r w:rsidRPr="00215343">
        <w:t>Observer dans un montage lame/lamelle, un ver de Roscoff adulte et juvénile</w:t>
      </w:r>
      <w:r>
        <w:t>.</w:t>
      </w:r>
    </w:p>
    <w:p w14:paraId="0F0CB957" w14:textId="3015F0FE" w:rsidR="00215343" w:rsidRPr="00215343" w:rsidRDefault="00215343" w:rsidP="00215343">
      <w:pPr>
        <w:pStyle w:val="LISTE"/>
        <w:spacing w:line="276" w:lineRule="auto"/>
      </w:pPr>
      <w:r w:rsidRPr="00215343">
        <w:t xml:space="preserve">Observer au microscope l’algue </w:t>
      </w:r>
      <w:proofErr w:type="spellStart"/>
      <w:r w:rsidRPr="00215343">
        <w:rPr>
          <w:i/>
        </w:rPr>
        <w:t>Tetraselmis</w:t>
      </w:r>
      <w:proofErr w:type="spellEnd"/>
      <w:r w:rsidRPr="00215343">
        <w:rPr>
          <w:i/>
        </w:rPr>
        <w:t xml:space="preserve"> </w:t>
      </w:r>
      <w:proofErr w:type="spellStart"/>
      <w:r w:rsidRPr="00215343">
        <w:rPr>
          <w:i/>
        </w:rPr>
        <w:t>convolutae</w:t>
      </w:r>
      <w:proofErr w:type="spellEnd"/>
      <w:r>
        <w:t>.</w:t>
      </w:r>
    </w:p>
    <w:p w14:paraId="762EF5AD" w14:textId="3DA82201" w:rsidR="00215343" w:rsidRPr="00215343" w:rsidRDefault="00215343" w:rsidP="00215343">
      <w:pPr>
        <w:pStyle w:val="LISTE"/>
        <w:spacing w:line="276" w:lineRule="auto"/>
      </w:pPr>
      <w:r w:rsidRPr="00215343">
        <w:t xml:space="preserve">Prendre </w:t>
      </w:r>
      <w:r>
        <w:t>une photo de chaque observation.</w:t>
      </w:r>
    </w:p>
    <w:p w14:paraId="7D48FB43" w14:textId="7DDA9077" w:rsidR="00215343" w:rsidRPr="00215343" w:rsidRDefault="00215343" w:rsidP="00215343">
      <w:pPr>
        <w:pStyle w:val="LISTE"/>
        <w:spacing w:line="276" w:lineRule="auto"/>
      </w:pPr>
      <w:r w:rsidRPr="00215343">
        <w:t>Comparer les structures et les légender numériquement</w:t>
      </w:r>
      <w:r>
        <w:t>.</w:t>
      </w:r>
    </w:p>
    <w:p w14:paraId="73DC277C" w14:textId="59D629B9" w:rsidR="00215343" w:rsidRPr="00215343" w:rsidRDefault="00215343" w:rsidP="00215343">
      <w:pPr>
        <w:pStyle w:val="COURANT"/>
        <w:spacing w:line="276" w:lineRule="auto"/>
        <w:rPr>
          <w:u w:val="single"/>
        </w:rPr>
      </w:pPr>
      <w:r>
        <w:rPr>
          <w:u w:val="single"/>
        </w:rPr>
        <w:t>B.</w:t>
      </w:r>
      <w:r w:rsidRPr="00215343">
        <w:rPr>
          <w:u w:val="single"/>
        </w:rPr>
        <w:t xml:space="preserve"> La spécificité de la symbiose</w:t>
      </w:r>
    </w:p>
    <w:p w14:paraId="5FE3B169" w14:textId="0E2C65F2" w:rsidR="00215343" w:rsidRPr="00215343" w:rsidRDefault="00215343" w:rsidP="00215343">
      <w:pPr>
        <w:pStyle w:val="LISTE"/>
        <w:numPr>
          <w:ilvl w:val="0"/>
          <w:numId w:val="37"/>
        </w:numPr>
        <w:spacing w:line="276" w:lineRule="auto"/>
      </w:pPr>
      <w:r>
        <w:t>Avec le Kit 2</w:t>
      </w:r>
      <w:r w:rsidRPr="00215343">
        <w:t>, mettre au contact les vers juvéniles avec l</w:t>
      </w:r>
      <w:r>
        <w:t xml:space="preserve">es 2 algues dans une boîte de </w:t>
      </w:r>
      <w:proofErr w:type="spellStart"/>
      <w:r>
        <w:t>Pe</w:t>
      </w:r>
      <w:r w:rsidRPr="00215343">
        <w:t>tri</w:t>
      </w:r>
      <w:proofErr w:type="spellEnd"/>
      <w:r>
        <w:t>.</w:t>
      </w:r>
    </w:p>
    <w:p w14:paraId="29E2B8A5" w14:textId="3EAD47AF" w:rsidR="00215343" w:rsidRPr="00215343" w:rsidRDefault="00215343" w:rsidP="00215343">
      <w:pPr>
        <w:pStyle w:val="LISTE"/>
        <w:spacing w:line="276" w:lineRule="auto"/>
      </w:pPr>
      <w:r w:rsidRPr="00215343">
        <w:t>Filmer le déplacement des vers juvéniles vers l’algue à identifier</w:t>
      </w:r>
      <w:r>
        <w:t>.</w:t>
      </w:r>
    </w:p>
    <w:p w14:paraId="79D25E97" w14:textId="77363A81" w:rsidR="00215343" w:rsidRPr="00215343" w:rsidRDefault="00215343" w:rsidP="00215343">
      <w:pPr>
        <w:pStyle w:val="COURANT"/>
        <w:spacing w:line="276" w:lineRule="auto"/>
        <w:rPr>
          <w:u w:val="single"/>
        </w:rPr>
      </w:pPr>
      <w:r>
        <w:rPr>
          <w:u w:val="single"/>
        </w:rPr>
        <w:t>C.</w:t>
      </w:r>
      <w:r w:rsidRPr="00215343">
        <w:rPr>
          <w:u w:val="single"/>
        </w:rPr>
        <w:t xml:space="preserve"> Le métabolisme du ver de Roscoff</w:t>
      </w:r>
    </w:p>
    <w:p w14:paraId="1683C018" w14:textId="69D3C39E" w:rsidR="00215343" w:rsidRPr="00215343" w:rsidRDefault="00215343" w:rsidP="00215343">
      <w:pPr>
        <w:pStyle w:val="LISTE"/>
        <w:numPr>
          <w:ilvl w:val="0"/>
          <w:numId w:val="38"/>
        </w:numPr>
        <w:spacing w:line="276" w:lineRule="auto"/>
      </w:pPr>
      <w:r w:rsidRPr="00215343">
        <w:t>Effectuer une mesure de variation de dioxygène (O</w:t>
      </w:r>
      <w:r w:rsidRPr="00215343">
        <w:rPr>
          <w:vertAlign w:val="subscript"/>
        </w:rPr>
        <w:t>2</w:t>
      </w:r>
      <w:r w:rsidRPr="00215343">
        <w:t>) et de dioxyde de carbone (CO</w:t>
      </w:r>
      <w:r w:rsidRPr="00215343">
        <w:rPr>
          <w:vertAlign w:val="subscript"/>
        </w:rPr>
        <w:t>2</w:t>
      </w:r>
      <w:r w:rsidRPr="00215343">
        <w:t>) d’une suspension de vers de Roscoff adultes</w:t>
      </w:r>
      <w:r>
        <w:t>.</w:t>
      </w:r>
    </w:p>
    <w:p w14:paraId="7C169BA1" w14:textId="37D10C5B" w:rsidR="00237DFA" w:rsidRDefault="00215343" w:rsidP="00215343">
      <w:pPr>
        <w:pStyle w:val="LISTE"/>
        <w:spacing w:line="276" w:lineRule="auto"/>
      </w:pPr>
      <w:r w:rsidRPr="00215343">
        <w:t>Effectuer la même mesure avec un ver de Roscoff juvénil</w:t>
      </w:r>
      <w:r>
        <w:t>e.</w:t>
      </w:r>
    </w:p>
    <w:sectPr w:rsidR="00237DFA" w:rsidSect="00215343">
      <w:headerReference w:type="default" r:id="rId7"/>
      <w:footerReference w:type="default" r:id="rId8"/>
      <w:pgSz w:w="11906" w:h="16838"/>
      <w:pgMar w:top="1702" w:right="1417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DA071" w14:textId="77777777" w:rsidR="001066C3" w:rsidRDefault="001066C3" w:rsidP="002E6F5A">
      <w:pPr>
        <w:spacing w:after="0" w:line="240" w:lineRule="auto"/>
      </w:pPr>
      <w:r>
        <w:separator/>
      </w:r>
    </w:p>
  </w:endnote>
  <w:endnote w:type="continuationSeparator" w:id="0">
    <w:p w14:paraId="4CA7427D" w14:textId="77777777" w:rsidR="001066C3" w:rsidRDefault="001066C3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3107307A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215343">
      <w:rPr>
        <w:rFonts w:cs="Arial"/>
        <w:color w:val="7F7F7F" w:themeColor="text1" w:themeTint="80"/>
        <w:sz w:val="16"/>
        <w:szCs w:val="16"/>
      </w:rPr>
      <w:t>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2AA69" w14:textId="77777777" w:rsidR="001066C3" w:rsidRDefault="001066C3" w:rsidP="002E6F5A">
      <w:pPr>
        <w:spacing w:after="0" w:line="240" w:lineRule="auto"/>
      </w:pPr>
      <w:r>
        <w:separator/>
      </w:r>
    </w:p>
  </w:footnote>
  <w:footnote w:type="continuationSeparator" w:id="0">
    <w:p w14:paraId="117AE698" w14:textId="77777777" w:rsidR="001066C3" w:rsidRDefault="001066C3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1B34" w14:textId="1CD3FD6A" w:rsidR="002C537D" w:rsidRPr="00D339AD" w:rsidRDefault="002C537D" w:rsidP="002C537D">
    <w:pPr>
      <w:pStyle w:val="CHAPITRE"/>
      <w:rPr>
        <w:color w:val="C00000"/>
      </w:rPr>
    </w:pPr>
    <w:r w:rsidRPr="00D339AD">
      <w:rPr>
        <w:color w:val="C00000"/>
      </w:rPr>
      <w:t xml:space="preserve">CHAPITRE </w:t>
    </w:r>
    <w:r w:rsidR="00215343">
      <w:rPr>
        <w:color w:val="C00000"/>
      </w:rPr>
      <w:t>5</w:t>
    </w:r>
    <w:r w:rsidRPr="00D339AD">
      <w:rPr>
        <w:color w:val="C00000"/>
      </w:rPr>
      <w:t xml:space="preserve"> – </w:t>
    </w:r>
    <w:r w:rsidR="00215343">
      <w:rPr>
        <w:color w:val="C00000"/>
      </w:rPr>
      <w:t>Les mécanismes non génétiques de diversification du vivant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782"/>
    <w:multiLevelType w:val="hybridMultilevel"/>
    <w:tmpl w:val="E0FE23FC"/>
    <w:lvl w:ilvl="0" w:tplc="46581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D3F5C"/>
    <w:multiLevelType w:val="hybridMultilevel"/>
    <w:tmpl w:val="9260E804"/>
    <w:lvl w:ilvl="0" w:tplc="602E59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3F912AE"/>
    <w:multiLevelType w:val="hybridMultilevel"/>
    <w:tmpl w:val="8C2AA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C02E0"/>
    <w:multiLevelType w:val="hybridMultilevel"/>
    <w:tmpl w:val="D72684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11F8F"/>
    <w:multiLevelType w:val="hybridMultilevel"/>
    <w:tmpl w:val="A7981BB6"/>
    <w:lvl w:ilvl="0" w:tplc="903CC5D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9"/>
    <w:lvlOverride w:ilvl="0">
      <w:startOverride w:val="1"/>
    </w:lvlOverride>
  </w:num>
  <w:num w:numId="11">
    <w:abstractNumId w:val="22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22"/>
  </w:num>
  <w:num w:numId="15">
    <w:abstractNumId w:val="2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4"/>
  </w:num>
  <w:num w:numId="25">
    <w:abstractNumId w:val="9"/>
    <w:lvlOverride w:ilvl="0">
      <w:startOverride w:val="1"/>
    </w:lvlOverride>
  </w:num>
  <w:num w:numId="26">
    <w:abstractNumId w:val="13"/>
  </w:num>
  <w:num w:numId="27">
    <w:abstractNumId w:val="27"/>
  </w:num>
  <w:num w:numId="28">
    <w:abstractNumId w:val="29"/>
  </w:num>
  <w:num w:numId="29">
    <w:abstractNumId w:val="17"/>
  </w:num>
  <w:num w:numId="30">
    <w:abstractNumId w:val="2"/>
  </w:num>
  <w:num w:numId="31">
    <w:abstractNumId w:val="15"/>
  </w:num>
  <w:num w:numId="32">
    <w:abstractNumId w:val="14"/>
  </w:num>
  <w:num w:numId="33">
    <w:abstractNumId w:val="4"/>
  </w:num>
  <w:num w:numId="34">
    <w:abstractNumId w:val="19"/>
  </w:num>
  <w:num w:numId="35">
    <w:abstractNumId w:val="20"/>
  </w:num>
  <w:num w:numId="36">
    <w:abstractNumId w:val="0"/>
  </w:num>
  <w:num w:numId="37">
    <w:abstractNumId w:val="9"/>
    <w:lvlOverride w:ilvl="0">
      <w:startOverride w:val="1"/>
    </w:lvlOverride>
  </w:num>
  <w:num w:numId="38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1066C3"/>
    <w:rsid w:val="00124499"/>
    <w:rsid w:val="00136F3B"/>
    <w:rsid w:val="00143B46"/>
    <w:rsid w:val="00166ED4"/>
    <w:rsid w:val="001A7090"/>
    <w:rsid w:val="001C6AA1"/>
    <w:rsid w:val="00205BE0"/>
    <w:rsid w:val="00215343"/>
    <w:rsid w:val="00221894"/>
    <w:rsid w:val="002301CB"/>
    <w:rsid w:val="00237DFA"/>
    <w:rsid w:val="00243229"/>
    <w:rsid w:val="002625BB"/>
    <w:rsid w:val="0029441B"/>
    <w:rsid w:val="002C537D"/>
    <w:rsid w:val="002E6F5A"/>
    <w:rsid w:val="002F0F4B"/>
    <w:rsid w:val="00333BCB"/>
    <w:rsid w:val="00344921"/>
    <w:rsid w:val="00367B1E"/>
    <w:rsid w:val="003A168C"/>
    <w:rsid w:val="003A4EDF"/>
    <w:rsid w:val="003A540A"/>
    <w:rsid w:val="003B72B9"/>
    <w:rsid w:val="00401872"/>
    <w:rsid w:val="00403F37"/>
    <w:rsid w:val="00454BDE"/>
    <w:rsid w:val="00457449"/>
    <w:rsid w:val="004617D1"/>
    <w:rsid w:val="004A6157"/>
    <w:rsid w:val="004D1DB3"/>
    <w:rsid w:val="004D434A"/>
    <w:rsid w:val="00541F5A"/>
    <w:rsid w:val="00542041"/>
    <w:rsid w:val="00560475"/>
    <w:rsid w:val="00563A7B"/>
    <w:rsid w:val="0057610B"/>
    <w:rsid w:val="005A2716"/>
    <w:rsid w:val="005A6749"/>
    <w:rsid w:val="005B394E"/>
    <w:rsid w:val="00633B29"/>
    <w:rsid w:val="00635C14"/>
    <w:rsid w:val="006514E0"/>
    <w:rsid w:val="00651925"/>
    <w:rsid w:val="00665E09"/>
    <w:rsid w:val="00690BBF"/>
    <w:rsid w:val="006E34A4"/>
    <w:rsid w:val="006F2CEE"/>
    <w:rsid w:val="006F489B"/>
    <w:rsid w:val="006F57B0"/>
    <w:rsid w:val="007318BB"/>
    <w:rsid w:val="00752CCD"/>
    <w:rsid w:val="00760FCE"/>
    <w:rsid w:val="007B4CF2"/>
    <w:rsid w:val="007B53EB"/>
    <w:rsid w:val="007B577F"/>
    <w:rsid w:val="007C7C40"/>
    <w:rsid w:val="00820088"/>
    <w:rsid w:val="00821262"/>
    <w:rsid w:val="008232CB"/>
    <w:rsid w:val="00836FF9"/>
    <w:rsid w:val="00837A90"/>
    <w:rsid w:val="00851BDB"/>
    <w:rsid w:val="00857BB4"/>
    <w:rsid w:val="00896C42"/>
    <w:rsid w:val="008A0B54"/>
    <w:rsid w:val="008A4328"/>
    <w:rsid w:val="008D7919"/>
    <w:rsid w:val="008F4A41"/>
    <w:rsid w:val="008F5496"/>
    <w:rsid w:val="009266E4"/>
    <w:rsid w:val="00927EFE"/>
    <w:rsid w:val="00931CA4"/>
    <w:rsid w:val="00942ABF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B59F7"/>
    <w:rsid w:val="00B04BEB"/>
    <w:rsid w:val="00B11DEC"/>
    <w:rsid w:val="00B23974"/>
    <w:rsid w:val="00B8091B"/>
    <w:rsid w:val="00BA4D34"/>
    <w:rsid w:val="00BA5B3E"/>
    <w:rsid w:val="00BB7E61"/>
    <w:rsid w:val="00BF7183"/>
    <w:rsid w:val="00C05312"/>
    <w:rsid w:val="00C10FFA"/>
    <w:rsid w:val="00C4307E"/>
    <w:rsid w:val="00C5211A"/>
    <w:rsid w:val="00C54D5C"/>
    <w:rsid w:val="00C91579"/>
    <w:rsid w:val="00CA2BC5"/>
    <w:rsid w:val="00CC2ADD"/>
    <w:rsid w:val="00D16E6C"/>
    <w:rsid w:val="00D339AD"/>
    <w:rsid w:val="00DA102E"/>
    <w:rsid w:val="00EB3099"/>
    <w:rsid w:val="00EF2889"/>
    <w:rsid w:val="00EF5BDF"/>
    <w:rsid w:val="00F815E5"/>
    <w:rsid w:val="00F86829"/>
    <w:rsid w:val="00F90563"/>
    <w:rsid w:val="00FA50CA"/>
    <w:rsid w:val="00FC40F8"/>
    <w:rsid w:val="00FE06BA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  <w:style w:type="paragraph" w:customStyle="1" w:styleId="NUMUNITE">
    <w:name w:val="NUM_UNITE"/>
    <w:basedOn w:val="Normal"/>
    <w:qFormat/>
    <w:rsid w:val="00942ABF"/>
    <w:pPr>
      <w:spacing w:after="0"/>
      <w:jc w:val="center"/>
    </w:pPr>
    <w:rPr>
      <w:rFonts w:ascii="Gisha" w:eastAsiaTheme="minorHAnsi" w:hAnsi="Gisha" w:cs="Gisha"/>
      <w:b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215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2020-06-29T10:04:00Z</dcterms:created>
  <dcterms:modified xsi:type="dcterms:W3CDTF">2020-06-29T10:14:00Z</dcterms:modified>
</cp:coreProperties>
</file>