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E" w:rsidRDefault="00E509EC" w:rsidP="00E509EC">
      <w:pPr>
        <w:pStyle w:val="UNITE"/>
      </w:pPr>
      <w:r>
        <w:pict>
          <v:roundrect id="Rectangle à coins arrondis 7" o:spid="_x0000_s1030" style="position:absolute;margin-left:-12.35pt;margin-top:54.4pt;width:128.1pt;height:27.65pt;z-index:-251639808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 style="mso-next-textbox:#Rectangle à coins arrondis 7">
              <w:txbxContent>
                <w:p w:rsidR="008F3B60" w:rsidRPr="00A13122" w:rsidRDefault="008F3B60" w:rsidP="008F3B60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 w:rsidR="007811A2"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fillcolor="#3160ae" stroked="f" strokeweight="1pt">
            <v:textbox style="mso-next-textbox:#Rectangle 6">
              <w:txbxContent>
                <w:p w:rsidR="00333BCB" w:rsidRPr="008F3B60" w:rsidRDefault="00EF5BDF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F3B60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ight"/>
          </v:rect>
        </w:pict>
      </w:r>
      <w:r w:rsidR="007811A2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adj="6300,28955" fillcolor="#587bbb" stroked="f" strokeweight="1pt">
            <v:textbox style="mso-next-textbox:#Rectangle 5">
              <w:txbxContent>
                <w:p w:rsidR="00333BCB" w:rsidRPr="008F3B60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8F3B60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8F3B60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A44366">
        <w:rPr>
          <w:noProof/>
          <w:lang w:eastAsia="fr-FR"/>
        </w:rPr>
        <w:t>Les étapes d'une réaction ré</w:t>
      </w:r>
      <w:bookmarkStart w:id="0" w:name="_GoBack"/>
      <w:bookmarkEnd w:id="0"/>
      <w:r w:rsidR="00A44366">
        <w:rPr>
          <w:noProof/>
          <w:lang w:eastAsia="fr-FR"/>
        </w:rPr>
        <w:t>flexe</w:t>
      </w:r>
    </w:p>
    <w:p w:rsidR="00EF5BDF" w:rsidRPr="00A13122" w:rsidRDefault="00A44366" w:rsidP="008F3B60">
      <w:pPr>
        <w:pStyle w:val="Titreprotocole"/>
      </w:pPr>
      <w:r w:rsidRPr="008F3B60">
        <w:t>Enregistrement</w:t>
      </w:r>
      <w:r w:rsidRPr="00A44366">
        <w:t xml:space="preserve"> du réflexe myotatique</w:t>
      </w:r>
    </w:p>
    <w:p w:rsidR="00EF5BDF" w:rsidRDefault="00EF5BDF" w:rsidP="00EF5BDF"/>
    <w:p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:rsidR="00781405" w:rsidRDefault="00EF5BDF" w:rsidP="00781405">
      <w:pPr>
        <w:pStyle w:val="materielcourant"/>
      </w:pPr>
      <w:r w:rsidRPr="00836FF9">
        <w:t xml:space="preserve">- </w:t>
      </w:r>
      <w:r w:rsidR="00A44366">
        <w:t xml:space="preserve">interface </w:t>
      </w:r>
      <w:proofErr w:type="spellStart"/>
      <w:r w:rsidR="00A44366">
        <w:t>ExAO</w:t>
      </w:r>
      <w:proofErr w:type="spellEnd"/>
      <w:r w:rsidR="00A44366">
        <w:t xml:space="preserve"> connectée à un ordinateur</w:t>
      </w:r>
    </w:p>
    <w:p w:rsidR="00781405" w:rsidRDefault="00836FF9" w:rsidP="00781405">
      <w:pPr>
        <w:pStyle w:val="materielcourant"/>
      </w:pPr>
      <w:r>
        <w:t xml:space="preserve">- </w:t>
      </w:r>
      <w:r w:rsidR="00A44366">
        <w:t>électrodes à coller sur la peau</w:t>
      </w:r>
    </w:p>
    <w:p w:rsidR="00781405" w:rsidRDefault="00836FF9" w:rsidP="00781405">
      <w:pPr>
        <w:pStyle w:val="materielcourant"/>
      </w:pPr>
      <w:r>
        <w:t xml:space="preserve">- </w:t>
      </w:r>
      <w:r w:rsidR="00A44366">
        <w:t xml:space="preserve">câbles de connexion des électrodes à l'interface </w:t>
      </w:r>
      <w:proofErr w:type="spellStart"/>
      <w:r w:rsidR="00A44366">
        <w:t>ExAO</w:t>
      </w:r>
      <w:proofErr w:type="spellEnd"/>
    </w:p>
    <w:p w:rsidR="00781405" w:rsidRDefault="00836FF9" w:rsidP="00781405">
      <w:pPr>
        <w:pStyle w:val="materielcourant"/>
      </w:pPr>
      <w:r>
        <w:t xml:space="preserve">- </w:t>
      </w:r>
      <w:r w:rsidR="00A44366">
        <w:t>marteau réflexe</w:t>
      </w:r>
    </w:p>
    <w:p w:rsidR="00781405" w:rsidRDefault="00836FF9" w:rsidP="00781405">
      <w:pPr>
        <w:pStyle w:val="materielcourant"/>
      </w:pPr>
      <w:r>
        <w:t xml:space="preserve">- </w:t>
      </w:r>
      <w:r w:rsidR="00A44366">
        <w:t>coton hydrophile</w:t>
      </w:r>
    </w:p>
    <w:p w:rsidR="00781405" w:rsidRDefault="00836FF9" w:rsidP="00781405">
      <w:pPr>
        <w:pStyle w:val="materielcourant"/>
      </w:pPr>
      <w:r>
        <w:t xml:space="preserve">- </w:t>
      </w:r>
      <w:r w:rsidR="00A44366">
        <w:t>alcool 70°</w:t>
      </w:r>
    </w:p>
    <w:p w:rsidR="00A44366" w:rsidRPr="00A44366" w:rsidRDefault="00A44366" w:rsidP="00781405">
      <w:pPr>
        <w:pStyle w:val="materielcourant"/>
      </w:pPr>
    </w:p>
    <w:p w:rsidR="00836FF9" w:rsidRDefault="00EF5BDF" w:rsidP="001A7090">
      <w:pPr>
        <w:pStyle w:val="MATERIEL"/>
      </w:pPr>
      <w:r>
        <w:t>Protocole</w:t>
      </w:r>
      <w:r w:rsidR="001A7090">
        <w:t> :</w:t>
      </w:r>
    </w:p>
    <w:p w:rsidR="008F3B60" w:rsidRPr="008F3B60" w:rsidRDefault="00A44366" w:rsidP="008F3B60">
      <w:pPr>
        <w:pStyle w:val="LISTE"/>
      </w:pPr>
      <w:r>
        <w:t xml:space="preserve">En position debout, poser le genou sur un tabouret, la jambe fléchie à 90° et la cheville </w:t>
      </w:r>
      <w:r w:rsidRPr="008F3B60">
        <w:t>et le pied restant en l'air</w:t>
      </w:r>
      <w:r w:rsidR="00836FF9" w:rsidRPr="008F3B60">
        <w:t>.</w:t>
      </w:r>
    </w:p>
    <w:p w:rsidR="008F3B60" w:rsidRPr="008F3B60" w:rsidRDefault="000F4AF4" w:rsidP="008F3B60">
      <w:pPr>
        <w:pStyle w:val="LISTE"/>
      </w:pPr>
      <w:r w:rsidRPr="008F3B60">
        <w:t>Repérer le triceps sural (légèrement sur le côté extérieur du mollet) et le f</w:t>
      </w:r>
      <w:r w:rsidR="00A44366" w:rsidRPr="008F3B60">
        <w:t>rotter</w:t>
      </w:r>
      <w:r w:rsidRPr="008F3B60">
        <w:t xml:space="preserve"> </w:t>
      </w:r>
      <w:r w:rsidR="00A44366" w:rsidRPr="008F3B60">
        <w:t>avec un coton imbibé d'alcool.</w:t>
      </w:r>
    </w:p>
    <w:p w:rsidR="008F3B60" w:rsidRPr="008F3B60" w:rsidRDefault="00A44366" w:rsidP="008F3B60">
      <w:pPr>
        <w:pStyle w:val="LISTE"/>
      </w:pPr>
      <w:r w:rsidRPr="008F3B60">
        <w:t>Retirer la protection plastique de</w:t>
      </w:r>
      <w:r w:rsidR="00A80007" w:rsidRPr="008F3B60">
        <w:t>s</w:t>
      </w:r>
      <w:r w:rsidRPr="008F3B60">
        <w:t xml:space="preserve"> électrodes adhésives</w:t>
      </w:r>
      <w:r w:rsidR="008F3B60" w:rsidRPr="008F3B60">
        <w:t xml:space="preserve"> et les coller </w:t>
      </w:r>
      <w:r w:rsidRPr="008F3B60">
        <w:t xml:space="preserve">sur le </w:t>
      </w:r>
      <w:r w:rsidR="000F4AF4" w:rsidRPr="008F3B60">
        <w:t>triceps</w:t>
      </w:r>
      <w:r w:rsidRPr="008F3B60">
        <w:t>, noir en bas, rouge et vert en haut. Attention à bien rester sur le muscle et ne pas se placer trop bas sur le tendon</w:t>
      </w:r>
      <w:r w:rsidR="00836FF9" w:rsidRPr="008F3B60">
        <w:t>.</w:t>
      </w:r>
    </w:p>
    <w:p w:rsidR="008F3B60" w:rsidRPr="008F3B60" w:rsidRDefault="000F4AF4" w:rsidP="008F3B60">
      <w:pPr>
        <w:pStyle w:val="LISTE"/>
      </w:pPr>
      <w:r w:rsidRPr="008F3B60">
        <w:t>Connecter les électrodes aux câbles reliés à l'interface</w:t>
      </w:r>
      <w:r w:rsidR="00A80007" w:rsidRPr="008F3B60">
        <w:t>.</w:t>
      </w:r>
    </w:p>
    <w:p w:rsidR="008F3B60" w:rsidRPr="008F3B60" w:rsidRDefault="0005257D" w:rsidP="008F3B60">
      <w:pPr>
        <w:pStyle w:val="LISTE"/>
      </w:pPr>
      <w:r w:rsidRPr="008F3B60">
        <w:t>Régler les paramètres d'acquisition du logiciel (durée 100 ms ; déclenchement par source externe)</w:t>
      </w:r>
      <w:r w:rsidR="000F4AF4" w:rsidRPr="008F3B60">
        <w:t>.</w:t>
      </w:r>
    </w:p>
    <w:p w:rsidR="0005257D" w:rsidRDefault="0005257D" w:rsidP="008F3B60">
      <w:pPr>
        <w:pStyle w:val="LISTE"/>
      </w:pPr>
      <w:r w:rsidRPr="008F3B60">
        <w:t>Avec</w:t>
      </w:r>
      <w:r>
        <w:t xml:space="preserve"> le marteau, frapper un coup sec sur le tendon d'Achille, entre le talon et le mollet.</w:t>
      </w:r>
    </w:p>
    <w:sectPr w:rsidR="0005257D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A2" w:rsidRDefault="007811A2" w:rsidP="002E6F5A">
      <w:pPr>
        <w:spacing w:after="0" w:line="240" w:lineRule="auto"/>
      </w:pPr>
      <w:r>
        <w:separator/>
      </w:r>
    </w:p>
  </w:endnote>
  <w:endnote w:type="continuationSeparator" w:id="0">
    <w:p w:rsidR="007811A2" w:rsidRDefault="007811A2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8F3B60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05257D">
      <w:rPr>
        <w:rFonts w:cs="Arial"/>
        <w:color w:val="7F7F7F" w:themeColor="text1" w:themeTint="80"/>
        <w:sz w:val="16"/>
        <w:szCs w:val="16"/>
      </w:rPr>
      <w:t>295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A2" w:rsidRDefault="007811A2" w:rsidP="002E6F5A">
      <w:pPr>
        <w:spacing w:after="0" w:line="240" w:lineRule="auto"/>
      </w:pPr>
      <w:r>
        <w:separator/>
      </w:r>
    </w:p>
  </w:footnote>
  <w:footnote w:type="continuationSeparator" w:id="0">
    <w:p w:rsidR="007811A2" w:rsidRDefault="007811A2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2F" w:rsidRPr="00E509EC" w:rsidRDefault="00093F2F" w:rsidP="00093F2F">
    <w:pPr>
      <w:pStyle w:val="CHAPITRE"/>
      <w:rPr>
        <w:color w:val="3160AE"/>
      </w:rPr>
    </w:pPr>
    <w:r w:rsidRPr="00E509EC">
      <w:rPr>
        <w:color w:val="3160AE"/>
      </w:rPr>
      <w:t>CHAPITRE 14 – LES RÉFLEXES</w:t>
    </w:r>
  </w:p>
  <w:p w:rsidR="005A2716" w:rsidRPr="00093F2F" w:rsidRDefault="005A2716" w:rsidP="00093F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C1F0AA94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587bb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06C56"/>
    <w:rsid w:val="00025A90"/>
    <w:rsid w:val="00033340"/>
    <w:rsid w:val="00046357"/>
    <w:rsid w:val="0005257D"/>
    <w:rsid w:val="00053E9B"/>
    <w:rsid w:val="00057020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A4AB2"/>
    <w:rsid w:val="001A7090"/>
    <w:rsid w:val="001C6AA1"/>
    <w:rsid w:val="00205BE0"/>
    <w:rsid w:val="00221894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394E"/>
    <w:rsid w:val="005E4F76"/>
    <w:rsid w:val="00633B29"/>
    <w:rsid w:val="006514E0"/>
    <w:rsid w:val="00651925"/>
    <w:rsid w:val="00665E09"/>
    <w:rsid w:val="00690BBF"/>
    <w:rsid w:val="006A5832"/>
    <w:rsid w:val="006E34A4"/>
    <w:rsid w:val="006F489B"/>
    <w:rsid w:val="006F57B0"/>
    <w:rsid w:val="007318BB"/>
    <w:rsid w:val="00760FCE"/>
    <w:rsid w:val="007811A2"/>
    <w:rsid w:val="00781405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3B60"/>
    <w:rsid w:val="008F4A41"/>
    <w:rsid w:val="008F5496"/>
    <w:rsid w:val="00927EFE"/>
    <w:rsid w:val="00944B96"/>
    <w:rsid w:val="009611C4"/>
    <w:rsid w:val="009644FE"/>
    <w:rsid w:val="00967405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E57B0"/>
    <w:rsid w:val="00C05312"/>
    <w:rsid w:val="00C10FFA"/>
    <w:rsid w:val="00C37008"/>
    <w:rsid w:val="00C5211A"/>
    <w:rsid w:val="00C54D5C"/>
    <w:rsid w:val="00C91579"/>
    <w:rsid w:val="00CA2BC5"/>
    <w:rsid w:val="00CC2ADD"/>
    <w:rsid w:val="00D03D29"/>
    <w:rsid w:val="00D16E6C"/>
    <w:rsid w:val="00DA102E"/>
    <w:rsid w:val="00E509EC"/>
    <w:rsid w:val="00EB3099"/>
    <w:rsid w:val="00EF5BDF"/>
    <w:rsid w:val="00F86829"/>
    <w:rsid w:val="00FD6E4B"/>
    <w:rsid w:val="00FE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7bbb"/>
    </o:shapedefaults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6538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2020-04-07T16:36:00Z</dcterms:created>
  <dcterms:modified xsi:type="dcterms:W3CDTF">2020-06-28T23:26:00Z</dcterms:modified>
</cp:coreProperties>
</file>